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SAVLEX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5A5A6A"/>
          <w:sz w:val="22"/>
          <w:szCs w:val="22"/>
        </w:rPr>
        <w:t xml:space="preserve">  ·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5A5A6A"/>
          <w:sz w:val="18"/>
          <w:szCs w:val="18"/>
        </w:rPr>
        <w:t xml:space="preserve">ЮРИДИЧЕСКАЯ ПРАКТИКА</w:t>
      </w:r>
    </w:p>
    <w:p>
      <w:pPr>
        <w:pBdr>
          <w:bottom w:val="single" w:color="004AAD" w:sz="6" w:space="6"/>
        </w:pBdr>
        <w:spacing w:after="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/>
      </w:r>
    </w:p>
    <w:p>
      <w:pPr>
        <w:spacing w:after="3600" w:before="0" w:line="2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/>
      </w:r>
    </w:p>
    <w:p>
      <w:pPr>
        <w:spacing w:after="80" w:before="0" w:line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44"/>
          <w:szCs w:val="44"/>
        </w:rPr>
        <w:t xml:space="preserve">КОММЕРЧЕСКОЕ ПРЕДЛОЖЕНИЕ</w:t>
      </w:r>
    </w:p>
    <w:p>
      <w:pPr>
        <w:spacing w:after="600" w:before="0" w:line="3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26"/>
          <w:szCs w:val="26"/>
        </w:rPr>
        <w:t xml:space="preserve">на абонентское юридическое и тендерное обслуживание</w:t>
      </w:r>
    </w:p>
    <w:p>
      <w:pPr>
        <w:spacing w:after="80" w:before="0" w:line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Адресовано: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неопределённому кругу лиц (руководителям и юридическим службам организаций)</w:t>
      </w:r>
    </w:p>
    <w:p>
      <w:pPr>
        <w:spacing w:after="80" w:before="0" w:line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Оферент: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ООО «Экспертно-консультационный центр» (SavLex), Санкт-Петербург</w:t>
      </w:r>
    </w:p>
    <w:p>
      <w:pPr>
        <w:spacing w:after="1200" w:before="0" w:line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Действует с: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22 апреля 2026 г.</w:t>
      </w:r>
    </w:p>
    <w:p>
      <w:pPr>
        <w:pBdr>
          <w:bottom w:val="single" w:color="5A5A6A" w:sz="6" w:space="6"/>
        </w:pBdr>
        <w:spacing w:after="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/>
      </w:r>
    </w:p>
    <w:p>
      <w:pPr>
        <w:spacing w:after="120" w:before="120" w:line="3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0"/>
          <w:szCs w:val="20"/>
        </w:rPr>
        <w:t xml:space="preserve">info@savlex.com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5A5A6A"/>
          <w:sz w:val="20"/>
          <w:szCs w:val="20"/>
        </w:rPr>
        <w:t xml:space="preserve">   ·   +7 (931) 590-22-34   ·   @savvlex   ·   savlex.com</w:t>
      </w:r>
    </w:p>
    <w:p>
      <w:pPr>
        <w:keepNext/>
        <w:pageBreakBefore/>
        <w:spacing w:after="12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6"/>
          <w:szCs w:val="26"/>
        </w:rPr>
        <w:t xml:space="preserve">1. О нас</w:t>
      </w:r>
    </w:p>
    <w:p>
      <w:pPr>
        <w:spacing w:after="1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SavLex — юридическая практика на стыке IT-права, регуляторики, договорной работы и судебного представительства. С 2002 года сопровождаем российские и международные компании в Санкт-Петербурге и по всей России.</w:t>
      </w:r>
    </w:p>
    <w:p>
      <w:pPr>
        <w:spacing w:after="32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Работаем в партнёрстве с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Коллегией адвокатов «Альфа Бизнес Консалтинг» (ABC)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 — для дел, требующих статуса адвоката и соблюдения адвокатской тайны. Филиалы партнёра: Санкт-Петербург, Москва, Новосибирск, Новокузнецк.</w:t>
      </w:r>
    </w:p>
    <w:p>
      <w:pPr>
        <w:keepNext/>
        <w:spacing w:after="12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6"/>
          <w:szCs w:val="26"/>
        </w:rPr>
        <w:t xml:space="preserve">2. Предмет предложения</w:t>
      </w:r>
    </w:p>
    <w:p>
      <w:pPr>
        <w:spacing w:after="1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Настоящее предложение содержит четыре варианта абонентского обслуживания с фиксированной ежемесячной стоимостью. Каждый тариф спроектирован под конкретный профиль задач — от базовых консультаций до полного юридического и тендерного сопровождения. Условия действуют на территории Российской Федерации.</w:t>
      </w:r>
    </w:p>
    <w:p>
      <w:pPr>
        <w:spacing w:after="2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Оплата производится помесячно по выставленному счёту. При оплате за год — скидка 10 %. Свободный переход между тарифами внутри квартала. Выход без штрафа с уведомлением за 14 дней.</w:t>
      </w:r>
    </w:p>
    <w:p>
      <w:pPr>
        <w:spacing w:after="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22"/>
          <w:szCs w:val="22"/>
        </w:rPr>
        <w:t xml:space="preserve">Ниже — состав каждого пакета в виде согласованной таблицы объёма услуг.</w:t>
      </w:r>
    </w:p>
    <w:p>
      <w:pPr>
        <w:keepNext/>
        <w:pageBreakBefore/>
        <w:spacing w:after="8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6"/>
          <w:szCs w:val="26"/>
        </w:rPr>
        <w:t xml:space="preserve">3. ПАКЕТ «СТАРТ»</w:t>
      </w:r>
    </w:p>
    <w:p>
      <w:pPr>
        <w:keepNext/>
        <w:spacing w:after="12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22"/>
          <w:szCs w:val="22"/>
        </w:rPr>
        <w:t xml:space="preserve">Базовый абонемент</w:t>
      </w:r>
    </w:p>
    <w:p>
      <w:pPr>
        <w:keepNext/>
        <w:spacing w:after="2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0"/>
          <w:szCs w:val="20"/>
        </w:rPr>
        <w:t xml:space="preserve">Для малого бизнеса с редкой юридической нагрузкой и эпизодическим участием в закупках 44-ФЗ.</w:t>
      </w:r>
    </w:p>
    <w:p>
      <w:pPr>
        <w:keepNext/>
        <w:spacing w:after="1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Стороны согласовали следующий объём услуг, включённый в ежемесячную абонентскую плату в размере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25 000 (двадцать пять тысяч) рублей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: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00"/>
        <w:gridCol w:w="7000"/>
        <w:gridCol w:w="2000"/>
      </w:tblGrid>
      <w:tr>
        <w:trPr>
          <w:tblHeader/>
        </w:trP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№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Лимит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Устные юридические консультации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3 × 30 мин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2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Подготовка / проверка договора (до 5 стр.)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1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3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Претензионная работа (претензия или ответ)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1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4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Аккредитация в ЕИС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Единоразово, 1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5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Закупки в рамках 44-ФЗ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(электронный аукцион, запрос котировок)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2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6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Мониторинг изменений нормативно-правовых актов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Еженедельно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7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Участие в торгах (робот, автоматизированные средства подачи)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лимита</w:t>
            </w:r>
          </w:p>
        </w:tc>
      </w:tr>
    </w:tbl>
    <w:p>
      <w:pPr>
        <w:keepNext/>
        <w:pageBreakBefore/>
        <w:spacing w:after="8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6"/>
          <w:szCs w:val="26"/>
        </w:rPr>
        <w:t xml:space="preserve">4. ПАКЕТ «ТОРГИ»</w:t>
      </w:r>
    </w:p>
    <w:p>
      <w:pPr>
        <w:keepNext/>
        <w:spacing w:after="12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22"/>
          <w:szCs w:val="22"/>
        </w:rPr>
        <w:t xml:space="preserve">Тендерное абонентское обслуживание</w:t>
      </w:r>
    </w:p>
    <w:p>
      <w:pPr>
        <w:keepNext/>
        <w:spacing w:after="2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0"/>
          <w:szCs w:val="20"/>
        </w:rPr>
        <w:t xml:space="preserve">Для компаний с активной тендерной деятельностью по 44-ФЗ, 223-ФЗ и коммерческим процедурам.</w:t>
      </w:r>
    </w:p>
    <w:p>
      <w:pPr>
        <w:keepNext/>
        <w:spacing w:after="1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Стороны согласовали следующий объём услуг, включённый в ежемесячную абонентскую плату в размере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49 000 (сорок девять тысяч) рублей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: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00"/>
        <w:gridCol w:w="7000"/>
        <w:gridCol w:w="2000"/>
      </w:tblGrid>
      <w:tr>
        <w:trPr>
          <w:tblHeader/>
        </w:trP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№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Лимит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Аккредитация в ЕИС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(Единая информационная система) *Единоразовая услуга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2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Закупки в рамках 44-ФЗ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(электронный аукцион, запрос котировок)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10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3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Открытый конкурс 44-ФЗ — Сложный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(процедуры с критериями оценки, требующими объёмной качественной части, описания процессов и т. п.)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1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4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Открытый конкурс 44-ФЗ — Стандартный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(процедуры, где оценка производится преимущественно по цене и наличию квалификации, без сложного тех. предложения)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1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5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Закупки в рамках 223-ФЗ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(электронный аукцион, запрос котировок, запрос предложений, конкурс)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5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6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Иные виды закупок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(коммерческие торги, B2B, малые закупки, ЗМО, электронный магазин)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5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7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Временной лимит участия в торгах — ручной режим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(максимальное время участия специалиста в одной процедуре при ручной подаче предложений)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2 часов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8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4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Временной лимит участия в торгах — робот</w:t>
            </w:r>
          </w:p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color w:val="5A5A6A"/>
                <w:sz w:val="18"/>
                <w:szCs w:val="18"/>
              </w:rPr>
              <w:t xml:space="preserve">(при использовании автоматизированных средств подачи предложений)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лимита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9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Консультации по торговой практике и оформлению заявок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лимита</w:t>
            </w:r>
          </w:p>
        </w:tc>
      </w:tr>
    </w:tbl>
    <w:p>
      <w:pPr>
        <w:keepNext/>
        <w:pageBreakBefore/>
        <w:spacing w:after="8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6"/>
          <w:szCs w:val="26"/>
        </w:rPr>
        <w:t xml:space="preserve">5. ПАКЕТ «ЮРИДИЧЕСКОЕ»</w:t>
      </w:r>
    </w:p>
    <w:p>
      <w:pPr>
        <w:keepNext/>
        <w:spacing w:after="12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22"/>
          <w:szCs w:val="22"/>
        </w:rPr>
        <w:t xml:space="preserve">Полное юридическое абонентское обслуживание (без торгов)</w:t>
      </w:r>
    </w:p>
    <w:p>
      <w:pPr>
        <w:keepNext/>
        <w:spacing w:after="2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0"/>
          <w:szCs w:val="20"/>
        </w:rPr>
        <w:t xml:space="preserve">Для компаний с активной договорной и претензионной работой, регулярным участием в судебных процессах.</w:t>
      </w:r>
    </w:p>
    <w:p>
      <w:pPr>
        <w:keepNext/>
        <w:spacing w:after="1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Стороны согласовали следующий объём услуг, включённый в ежемесячную абонентскую плату в размере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59 000 (пятьдесят девять тысяч) рублей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: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00"/>
        <w:gridCol w:w="7000"/>
        <w:gridCol w:w="2000"/>
      </w:tblGrid>
      <w:tr>
        <w:trPr>
          <w:tblHeader/>
        </w:trP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№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Лимит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Юридические консультации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2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Подготовка и проверка договоров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10 шт.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3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Претензионная работа (претензии, ответы на претензии)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4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Административный комплаенс (проверки)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 полная проверка / квартал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5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Представительство в суде общей юрисдикции / арбитражном суде (1 инстанция)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2 судодня / мес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6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Участие в переговорах от имени заказчика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до 2 дней / мес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7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Мониторинг изменений нормативно-правовых актов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Еженедельно</w:t>
            </w:r>
          </w:p>
        </w:tc>
      </w:tr>
    </w:tbl>
    <w:p>
      <w:pPr>
        <w:keepNext/>
        <w:pageBreakBefore/>
        <w:spacing w:after="8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6"/>
          <w:szCs w:val="26"/>
        </w:rPr>
        <w:t xml:space="preserve">6. ПАКЕТ «КОМБО»</w:t>
      </w:r>
    </w:p>
    <w:p>
      <w:pPr>
        <w:keepNext/>
        <w:spacing w:after="12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22"/>
          <w:szCs w:val="22"/>
        </w:rPr>
        <w:t xml:space="preserve">Полное юридическое и тендерное абонентское обслуживание</w:t>
      </w:r>
    </w:p>
    <w:p>
      <w:pPr>
        <w:keepNext/>
        <w:spacing w:after="2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0"/>
          <w:szCs w:val="20"/>
        </w:rPr>
        <w:t xml:space="preserve">Flagship. Полное сопровождение: юридический блок без лимитов + тендерное направление без лимитов + success-fee.</w:t>
      </w:r>
    </w:p>
    <w:p>
      <w:pPr>
        <w:keepNext/>
        <w:spacing w:after="1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Стороны согласовали следующий объём услуг, включённый в ежемесячную абонентскую плату в размере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89 000 (восемьдесят девять тысяч) рублей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: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00"/>
        <w:gridCol w:w="7000"/>
        <w:gridCol w:w="2000"/>
      </w:tblGrid>
      <w:tr>
        <w:trPr>
          <w:tblHeader/>
        </w:trP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№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Лимит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Юридические консультации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2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Подготовка и проверка договоров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3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Претензионная работа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4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Административный комплаенс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5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Представительство в судах и административных органах (1 инст.)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6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Участие в переговорах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7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Подготовка и подача заявок на торги 44-ФЗ, 223-ФЗ, коммерческие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8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Обеспечение участия в торгах (ручные и автоматизированные)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Без ограничений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9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Success-fee при выигрыше тендера или дела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5% (не более 150 000 ₽)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10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Персональный юрист-куратор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Включено</w:t>
            </w:r>
          </w:p>
        </w:tc>
      </w:tr>
      <w:tr>
        <w:tc>
          <w:tcPr>
            <w:tcW w:type="dxa" w:w="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11</w:t>
            </w:r>
          </w:p>
        </w:tc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spacing w:after="0" w:before="0" w:line="26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Время реакции на запрос</w:t>
            </w:r>
          </w:p>
        </w:tc>
        <w:tc>
          <w:tcPr>
            <w:tcW w:type="dxa" w:w="2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1–2 часа</w:t>
            </w:r>
          </w:p>
        </w:tc>
      </w:tr>
    </w:tbl>
    <w:p>
      <w:pPr>
        <w:keepNext/>
        <w:pageBreakBefore/>
        <w:spacing w:after="12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6"/>
          <w:szCs w:val="26"/>
        </w:rPr>
        <w:t xml:space="preserve">7. Разовые услуги (вне абонемента)</w:t>
      </w:r>
    </w:p>
    <w:p>
      <w:pPr>
        <w:spacing w:after="2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20"/>
          <w:szCs w:val="20"/>
        </w:rPr>
        <w:t xml:space="preserve">Ставки ориентированы на рекомендуемые минимальные вознаграждения Адвокатской палаты Кемеровской области (пункт 7 применяется за вычетом НДФЛ/НДС по соглашению сторон).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000"/>
        <w:gridCol w:w="2500"/>
      </w:tblGrid>
      <w:tr>
        <w:trPr>
          <w:tblHeader/>
        </w:trP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0F2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Ставка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Устная юридическая консультация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от 2 000 ₽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Письменная консультация с заключением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от 3 000 ₽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Подготовка иска / отзыва на иск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от 15 000 ₽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Подготовка апелляционной, кассационной жалобы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от 15 000 ₽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Представительство в СОЮ (1 инст.)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5 000 ₽ / судодень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Представительство в арбитражном суде (1 инст.)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8 000 ₽ / судодень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Представительство в апелляционной / кассационной инстанции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10 000 ₽ / судодень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Полная проверка административного комплаенса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от 25 000 ₽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Аккредитация на дополнительной ЭТП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10 000 ₽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Подготовка заявки на открытый конкурс 44-ФЗ / 223-ФЗ (сложный)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от 15 000 ₽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Переговоры с контрагентом (1 день)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10 000 ₽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Участие в торгах — ручной режим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7F8F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5 000 ₽ / процедуру</w:t>
            </w:r>
          </w:p>
        </w:tc>
      </w:tr>
      <w:tr>
        <w:tc>
          <w:tcPr>
            <w:tcW w:type="dxa" w:w="70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1A1A20"/>
                <w:sz w:val="20"/>
                <w:szCs w:val="20"/>
              </w:rPr>
              <w:t xml:space="preserve">Участие в торгах — автоматизированный режим</w:t>
            </w:r>
          </w:p>
        </w:tc>
        <w:tc>
          <w:tcPr>
            <w:tcW w:type="dxa" w:w="2500"/>
            <w:tcBorders>
              <w:top w:val="single" w:color="C7CBD4" w:sz="4"/>
              <w:left w:val="single" w:color="C7CBD4" w:sz="4"/>
              <w:bottom w:val="single" w:color="C7CBD4" w:sz="4"/>
              <w:right w:val="single" w:color="C7CBD4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0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1A1A20"/>
                <w:sz w:val="20"/>
                <w:szCs w:val="20"/>
              </w:rPr>
              <w:t xml:space="preserve">2 000 ₽ / процедуру</w:t>
            </w:r>
          </w:p>
        </w:tc>
      </w:tr>
    </w:tbl>
    <w:p>
      <w:pPr>
        <w:spacing w:after="0" w:before="20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20"/>
          <w:szCs w:val="20"/>
        </w:rPr>
        <w:t xml:space="preserve">Клиентам на абонентском обслуживании — скидка 10 % на разовые услуги.</w:t>
      </w:r>
    </w:p>
    <w:p>
      <w:pPr>
        <w:keepNext/>
        <w:spacing w:after="120" w:before="40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6"/>
          <w:szCs w:val="26"/>
        </w:rPr>
        <w:t xml:space="preserve">8. Контакты и реквизиты</w:t>
      </w:r>
    </w:p>
    <w:p>
      <w:pPr>
        <w:spacing w:after="6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5A5A6A"/>
          <w:sz w:val="20"/>
          <w:szCs w:val="20"/>
        </w:rPr>
        <w:t xml:space="preserve">Оферент</w:t>
      </w:r>
    </w:p>
    <w:p>
      <w:pPr>
        <w:spacing w:after="4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ООО «Экспертно-консультационный центр» (торговая марка SavLex)</w:t>
      </w:r>
    </w:p>
    <w:p>
      <w:pPr>
        <w:spacing w:after="4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0"/>
          <w:szCs w:val="20"/>
        </w:rPr>
        <w:t xml:space="preserve">ОГРН 1024200677126 · ИНН 4205035876 · КПП 420501001</w:t>
      </w:r>
    </w:p>
    <w:p>
      <w:pPr>
        <w:spacing w:after="2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0"/>
          <w:szCs w:val="20"/>
        </w:rPr>
        <w:t xml:space="preserve">Санкт-Петербург. Основатель: Савельев В. Е.</w:t>
      </w:r>
    </w:p>
    <w:p>
      <w:pPr>
        <w:spacing w:after="6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5A5A6A"/>
          <w:sz w:val="20"/>
          <w:szCs w:val="20"/>
        </w:rPr>
        <w:t xml:space="preserve">Стратегический партнёр</w:t>
      </w:r>
    </w:p>
    <w:p>
      <w:pPr>
        <w:spacing w:after="4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Коллегия адвокатов «Альфа Бизнес Консалтинг» (ABC)</w:t>
      </w:r>
    </w:p>
    <w:p>
      <w:pPr>
        <w:spacing w:after="4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0"/>
          <w:szCs w:val="20"/>
        </w:rPr>
        <w:t xml:space="preserve">ОГРН 1194200000048 · ИНН 4253044454 · КПП 425301001</w:t>
      </w:r>
    </w:p>
    <w:p>
      <w:pPr>
        <w:spacing w:after="2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0"/>
          <w:szCs w:val="20"/>
        </w:rPr>
        <w:t xml:space="preserve">Филиалы: Санкт-Петербург, Москва, Новосибирск, Новокузнецк. Работа под адвокатским статусом и адвокатской тайной.</w:t>
      </w:r>
    </w:p>
    <w:p>
      <w:pPr>
        <w:spacing w:after="6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5A5A6A"/>
          <w:sz w:val="20"/>
          <w:szCs w:val="20"/>
        </w:rPr>
        <w:t xml:space="preserve">Связь</w:t>
      </w:r>
    </w:p>
    <w:p>
      <w:pPr>
        <w:spacing w:after="4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E-mail: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2"/>
          <w:szCs w:val="22"/>
        </w:rPr>
        <w:t xml:space="preserve">info@savlex.com</w:t>
      </w:r>
    </w:p>
    <w:p>
      <w:pPr>
        <w:spacing w:after="4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Телефон: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1A1A20"/>
          <w:sz w:val="22"/>
          <w:szCs w:val="22"/>
        </w:rPr>
        <w:t xml:space="preserve">+7 (931) 590-22-34</w:t>
      </w:r>
    </w:p>
    <w:p>
      <w:pPr>
        <w:spacing w:after="4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Telegram: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2"/>
          <w:szCs w:val="22"/>
        </w:rPr>
        <w:t xml:space="preserve">@savvlex</w:t>
      </w:r>
    </w:p>
    <w:p>
      <w:pPr>
        <w:spacing w:after="30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>Сайт: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4AAD"/>
          <w:sz w:val="22"/>
          <w:szCs w:val="22"/>
        </w:rPr>
        <w:t xml:space="preserve">savlex.com</w:t>
      </w:r>
    </w:p>
    <w:p>
      <w:pPr>
        <w:pBdr>
          <w:bottom w:val="single" w:color="E4E7EE" w:sz="6" w:space="6"/>
        </w:pBdr>
        <w:spacing w:after="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1A1A20"/>
          <w:sz w:val="22"/>
          <w:szCs w:val="22"/>
        </w:rPr>
        <w:t xml:space="preserve"/>
      </w:r>
    </w:p>
    <w:p>
      <w:pPr>
        <w:spacing w:after="0" w:before="16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5A5A6A"/>
          <w:sz w:val="18"/>
          <w:szCs w:val="18"/>
        </w:rPr>
        <w:t xml:space="preserve">Настоящее коммерческое предложение не является публичной офертой по смыслу ст. 437 ГК РФ. Условия конкретного договора на обслуживание определяются сторонами отдельно на основании акцептованной заявки.</w:t>
      </w:r>
    </w:p>
    <w:sectPr>
      <w:headerReference w:type="default" r:id="rId7"/>
      <w:footerReference w:type="default" r:id="rId8"/>
      <w:pgSz w:w="11906" w:h="16838" w:orient="portrait"/>
      <w:pgMar w:top="1440" w:right="1134" w:bottom="144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Times New Roman" w:cs="Times New Roman" w:eastAsia="Times New Roman" w:hAnsi="Times New Roman"/>
        <w:color w:val="5A5A6A"/>
        <w:sz w:val="16"/>
        <w:szCs w:val="16"/>
      </w:rPr>
      <w:t xml:space="preserve">Стр. </w:t>
      <w:fldChar w:fldCharType="begin"/>
      <w:instrText xml:space="preserve">PAGE</w:instrText>
      <w:fldChar w:fldCharType="separate"/>
      <w:fldChar w:fldCharType="end"/>
      <w:t xml:space="preserve"> из </w:t>
      <w:fldChar w:fldCharType="begin"/>
      <w:instrText xml:space="preserve">NUMPAGES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5A5A6A"/>
        <w:sz w:val="16"/>
        <w:szCs w:val="16"/>
      </w:rPr>
      <w:t xml:space="preserve">	savlex.com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4E7EE" w:sz="2" w:space="4"/>
      </w:pBdr>
      <w:tabs>
        <w:tab w:val="right" w:pos="9026"/>
      </w:tabs>
    </w:pPr>
    <w:r>
      <w:rPr>
        <w:rFonts w:ascii="Times New Roman" w:cs="Times New Roman" w:eastAsia="Times New Roman" w:hAnsi="Times New Roman"/>
        <w:b/>
        <w:bCs/>
        <w:i w:val="false"/>
        <w:iCs w:val="false"/>
        <w:color w:val="1A1A20"/>
        <w:sz w:val="16"/>
        <w:szCs w:val="16"/>
      </w:rPr>
      <w:t xml:space="preserve">SavLex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5A5A6A"/>
        <w:sz w:val="16"/>
        <w:szCs w:val="16"/>
      </w:rPr>
      <w:t xml:space="preserve">	Коммерческое предложение · Абонентское обслуживание ·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SavLex — коммерческое предложение</dc:title>
  <dc:creator>SavLex</dc:creator>
  <dc:description>Абонентское юридическое и тендерное обслуживание, 4 тарифа.</dc:description>
  <cp:lastModifiedBy>Un-named</cp:lastModifiedBy>
  <cp:revision>1</cp:revision>
  <dcterms:created xsi:type="dcterms:W3CDTF">2026-04-22T15:34:28.789Z</dcterms:created>
  <dcterms:modified xsi:type="dcterms:W3CDTF">2026-04-22T15:34:28.794Z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